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9F1D8E" w:rsidRDefault="0003646A" w:rsidP="00880F60">
      <w:pPr>
        <w:pStyle w:val="Title"/>
        <w:rPr>
          <w:lang w:val="pt-BR"/>
        </w:rPr>
      </w:pPr>
      <w:r w:rsidRPr="009F1D8E">
        <w:rPr>
          <w:rFonts w:ascii="Georgia" w:eastAsia="Georgia" w:hAnsi="Georgia" w:cs="Georgia"/>
          <w:bCs/>
          <w:iCs/>
          <w:lang w:val="pt-BR"/>
        </w:rPr>
        <w:t>Material A</w:t>
      </w:r>
    </w:p>
    <w:p w:rsidR="002F372E" w:rsidRPr="009F1D8E" w:rsidRDefault="0003646A" w:rsidP="00FB5286">
      <w:pPr>
        <w:pStyle w:val="Subtitle"/>
        <w:rPr>
          <w:lang w:val="pt-BR"/>
        </w:rPr>
      </w:pPr>
      <w:r w:rsidRPr="009F1D8E">
        <w:rPr>
          <w:rFonts w:ascii="Georgia" w:eastAsia="Georgia" w:hAnsi="Georgia" w:cs="Georgia"/>
          <w:lang w:val="pt-BR"/>
        </w:rPr>
        <w:t>Coisas a saber sobre um financiamento</w:t>
      </w:r>
    </w:p>
    <w:tbl>
      <w:tblPr>
        <w:tblStyle w:val="DP-Plain"/>
        <w:tblW w:w="5000" w:type="pct"/>
        <w:tblLook w:val="04A0"/>
      </w:tblPr>
      <w:tblGrid>
        <w:gridCol w:w="2322"/>
        <w:gridCol w:w="3774"/>
        <w:gridCol w:w="3048"/>
      </w:tblGrid>
      <w:tr w:rsidR="008065B2" w:rsidRPr="009F1D8E" w:rsidTr="008065B2">
        <w:trPr>
          <w:cnfStyle w:val="100000000000"/>
        </w:trPr>
        <w:tc>
          <w:tcPr>
            <w:tcW w:w="2322" w:type="dxa"/>
          </w:tcPr>
          <w:p w:rsidR="00B53263" w:rsidRPr="009F1D8E" w:rsidRDefault="0003646A" w:rsidP="00B53263">
            <w:pPr>
              <w:pStyle w:val="TabletextArial"/>
              <w:rPr>
                <w:lang w:val="pt-BR"/>
              </w:rPr>
            </w:pPr>
            <w:r w:rsidRPr="009F1D8E">
              <w:rPr>
                <w:rFonts w:eastAsia="Arial"/>
                <w:lang w:val="pt-BR"/>
              </w:rPr>
              <w:t>Prazo do financiamento</w:t>
            </w:r>
          </w:p>
        </w:tc>
        <w:tc>
          <w:tcPr>
            <w:tcW w:w="3774" w:type="dxa"/>
          </w:tcPr>
          <w:p w:rsidR="00B53263" w:rsidRPr="009F1D8E" w:rsidRDefault="0003646A" w:rsidP="00B53263">
            <w:pPr>
              <w:pStyle w:val="TabletextArial"/>
              <w:rPr>
                <w:lang w:val="pt-BR"/>
              </w:rPr>
            </w:pPr>
            <w:r w:rsidRPr="009F1D8E">
              <w:rPr>
                <w:rFonts w:eastAsia="Arial"/>
                <w:lang w:val="pt-BR"/>
              </w:rPr>
              <w:t>Definição</w:t>
            </w:r>
          </w:p>
        </w:tc>
        <w:tc>
          <w:tcPr>
            <w:tcW w:w="3048" w:type="dxa"/>
          </w:tcPr>
          <w:p w:rsidR="00B53263" w:rsidRPr="009F1D8E" w:rsidRDefault="0003646A" w:rsidP="00B53263">
            <w:pPr>
              <w:pStyle w:val="TabletextArial"/>
              <w:rPr>
                <w:lang w:val="pt-BR"/>
              </w:rPr>
            </w:pPr>
            <w:r w:rsidRPr="009F1D8E">
              <w:rPr>
                <w:rFonts w:eastAsia="Arial"/>
                <w:lang w:val="pt-BR"/>
              </w:rPr>
              <w:t>Notas</w:t>
            </w:r>
          </w:p>
        </w:tc>
      </w:tr>
      <w:tr w:rsidR="008065B2" w:rsidRPr="009F1D8E" w:rsidTr="008065B2">
        <w:tc>
          <w:tcPr>
            <w:tcW w:w="2322" w:type="dxa"/>
          </w:tcPr>
          <w:p w:rsidR="00B53263" w:rsidRPr="009F1D8E" w:rsidRDefault="0003646A" w:rsidP="00B53263">
            <w:pPr>
              <w:pStyle w:val="TabletextArial"/>
              <w:rPr>
                <w:i/>
                <w:lang w:val="pt-BR"/>
              </w:rPr>
            </w:pPr>
            <w:r w:rsidRPr="009F1D8E">
              <w:rPr>
                <w:rFonts w:eastAsia="Arial"/>
                <w:i/>
                <w:iCs/>
                <w:lang w:val="pt-BR"/>
              </w:rPr>
              <w:t>APR</w:t>
            </w:r>
          </w:p>
        </w:tc>
        <w:tc>
          <w:tcPr>
            <w:tcW w:w="3774" w:type="dxa"/>
          </w:tcPr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</w:tc>
        <w:tc>
          <w:tcPr>
            <w:tcW w:w="3048" w:type="dxa"/>
          </w:tcPr>
          <w:p w:rsidR="00B53263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065B2" w:rsidRPr="009F1D8E" w:rsidTr="008065B2">
        <w:tc>
          <w:tcPr>
            <w:tcW w:w="2322" w:type="dxa"/>
          </w:tcPr>
          <w:p w:rsidR="00B53263" w:rsidRPr="009F1D8E" w:rsidRDefault="0003646A" w:rsidP="00B53263">
            <w:pPr>
              <w:pStyle w:val="TabletextArial"/>
              <w:rPr>
                <w:i/>
                <w:lang w:val="pt-BR"/>
              </w:rPr>
            </w:pPr>
            <w:r w:rsidRPr="009F1D8E">
              <w:rPr>
                <w:rFonts w:eastAsia="Arial"/>
                <w:i/>
                <w:iCs/>
                <w:lang w:val="pt-BR"/>
              </w:rPr>
              <w:t>Tabela de amortização</w:t>
            </w:r>
          </w:p>
        </w:tc>
        <w:tc>
          <w:tcPr>
            <w:tcW w:w="3774" w:type="dxa"/>
          </w:tcPr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</w:tc>
        <w:tc>
          <w:tcPr>
            <w:tcW w:w="3048" w:type="dxa"/>
          </w:tcPr>
          <w:p w:rsidR="00B53263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065B2" w:rsidRPr="009F1D8E" w:rsidTr="008065B2">
        <w:tc>
          <w:tcPr>
            <w:tcW w:w="2322" w:type="dxa"/>
          </w:tcPr>
          <w:p w:rsidR="00B53263" w:rsidRPr="009F1D8E" w:rsidRDefault="0003646A" w:rsidP="00B53263">
            <w:pPr>
              <w:pStyle w:val="TabletextArial"/>
              <w:rPr>
                <w:i/>
                <w:lang w:val="pt-BR"/>
              </w:rPr>
            </w:pPr>
            <w:r w:rsidRPr="009F1D8E">
              <w:rPr>
                <w:rFonts w:eastAsia="Arial"/>
                <w:i/>
                <w:iCs/>
                <w:lang w:val="pt-BR"/>
              </w:rPr>
              <w:t>Custos de fechamento</w:t>
            </w:r>
          </w:p>
        </w:tc>
        <w:tc>
          <w:tcPr>
            <w:tcW w:w="3774" w:type="dxa"/>
          </w:tcPr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</w:tc>
        <w:tc>
          <w:tcPr>
            <w:tcW w:w="3048" w:type="dxa"/>
          </w:tcPr>
          <w:p w:rsidR="00B53263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065B2" w:rsidRPr="009F1D8E" w:rsidTr="008065B2">
        <w:tc>
          <w:tcPr>
            <w:tcW w:w="2322" w:type="dxa"/>
          </w:tcPr>
          <w:p w:rsidR="00B53263" w:rsidRPr="009F1D8E" w:rsidRDefault="0003646A" w:rsidP="00B53263">
            <w:pPr>
              <w:pStyle w:val="TabletextArial"/>
              <w:rPr>
                <w:i/>
                <w:lang w:val="pt-BR"/>
              </w:rPr>
            </w:pPr>
            <w:r w:rsidRPr="009F1D8E">
              <w:rPr>
                <w:rFonts w:eastAsia="Arial"/>
                <w:i/>
                <w:iCs/>
                <w:lang w:val="pt-BR"/>
              </w:rPr>
              <w:t>Entrada</w:t>
            </w:r>
          </w:p>
        </w:tc>
        <w:tc>
          <w:tcPr>
            <w:tcW w:w="3774" w:type="dxa"/>
          </w:tcPr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</w:tc>
        <w:tc>
          <w:tcPr>
            <w:tcW w:w="3048" w:type="dxa"/>
          </w:tcPr>
          <w:p w:rsidR="00B53263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065B2" w:rsidRPr="009F1D8E" w:rsidTr="008065B2">
        <w:tc>
          <w:tcPr>
            <w:tcW w:w="2322" w:type="dxa"/>
          </w:tcPr>
          <w:p w:rsidR="00B53263" w:rsidRPr="009F1D8E" w:rsidRDefault="0003646A" w:rsidP="00B53263">
            <w:pPr>
              <w:pStyle w:val="TabletextArial"/>
              <w:rPr>
                <w:i/>
                <w:lang w:val="pt-BR"/>
              </w:rPr>
            </w:pPr>
            <w:r w:rsidRPr="009F1D8E">
              <w:rPr>
                <w:rFonts w:eastAsia="Arial"/>
                <w:i/>
                <w:iCs/>
                <w:lang w:val="pt-BR"/>
              </w:rPr>
              <w:t>Ativo</w:t>
            </w:r>
          </w:p>
        </w:tc>
        <w:tc>
          <w:tcPr>
            <w:tcW w:w="3774" w:type="dxa"/>
          </w:tcPr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</w:tc>
        <w:tc>
          <w:tcPr>
            <w:tcW w:w="3048" w:type="dxa"/>
          </w:tcPr>
          <w:p w:rsidR="00B53263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065B2" w:rsidRPr="009F1D8E" w:rsidTr="008065B2">
        <w:tc>
          <w:tcPr>
            <w:tcW w:w="2322" w:type="dxa"/>
          </w:tcPr>
          <w:p w:rsidR="00B53263" w:rsidRPr="009F1D8E" w:rsidRDefault="0003646A" w:rsidP="00B53263">
            <w:pPr>
              <w:pStyle w:val="TabletextArial"/>
              <w:rPr>
                <w:i/>
                <w:lang w:val="pt-BR"/>
              </w:rPr>
            </w:pPr>
            <w:r w:rsidRPr="009F1D8E">
              <w:rPr>
                <w:rFonts w:eastAsia="Arial"/>
                <w:i/>
                <w:iCs/>
                <w:lang w:val="pt-BR"/>
              </w:rPr>
              <w:t>Taxa de juros</w:t>
            </w:r>
          </w:p>
          <w:p w:rsidR="00B53263" w:rsidRPr="009F1D8E" w:rsidRDefault="0003646A" w:rsidP="00B53263">
            <w:pPr>
              <w:pStyle w:val="TableBulletGeorgia"/>
              <w:rPr>
                <w:i/>
                <w:lang w:val="pt-BR"/>
              </w:rPr>
            </w:pPr>
            <w:r w:rsidRPr="009F1D8E">
              <w:rPr>
                <w:rFonts w:eastAsia="Arial"/>
                <w:i/>
                <w:iCs/>
                <w:color w:val="000000"/>
                <w:lang w:val="pt-BR"/>
              </w:rPr>
              <w:t>Taxa fixa</w:t>
            </w:r>
          </w:p>
          <w:p w:rsidR="00B53263" w:rsidRPr="009F1D8E" w:rsidRDefault="0003646A" w:rsidP="00B53263">
            <w:pPr>
              <w:pStyle w:val="TableBulletGeorgia"/>
              <w:rPr>
                <w:i/>
                <w:lang w:val="pt-BR"/>
              </w:rPr>
            </w:pPr>
            <w:r w:rsidRPr="009F1D8E">
              <w:rPr>
                <w:rFonts w:eastAsia="Arial"/>
                <w:i/>
                <w:iCs/>
                <w:color w:val="000000"/>
                <w:lang w:val="pt-BR"/>
              </w:rPr>
              <w:t>Taxa variável (ARM)</w:t>
            </w:r>
          </w:p>
        </w:tc>
        <w:tc>
          <w:tcPr>
            <w:tcW w:w="3774" w:type="dxa"/>
          </w:tcPr>
          <w:p w:rsidR="00B53263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</w:tc>
        <w:tc>
          <w:tcPr>
            <w:tcW w:w="3048" w:type="dxa"/>
          </w:tcPr>
          <w:p w:rsidR="00B53263" w:rsidRPr="009F1D8E" w:rsidRDefault="00396C9E" w:rsidP="00B53263">
            <w:pPr>
              <w:pStyle w:val="TabletextArial"/>
              <w:rPr>
                <w:szCs w:val="24"/>
                <w:lang w:val="pt-BR"/>
              </w:rPr>
            </w:pPr>
          </w:p>
        </w:tc>
      </w:tr>
    </w:tbl>
    <w:p w:rsidR="00446686" w:rsidRPr="009F1D8E" w:rsidRDefault="00396C9E" w:rsidP="00446686">
      <w:pPr>
        <w:pStyle w:val="BodyText"/>
        <w:rPr>
          <w:lang w:val="pt-BR"/>
        </w:rPr>
      </w:pPr>
    </w:p>
    <w:p w:rsidR="009643CD" w:rsidRPr="009F1D8E" w:rsidRDefault="00396C9E" w:rsidP="00446686">
      <w:pPr>
        <w:pStyle w:val="BodyText"/>
        <w:rPr>
          <w:lang w:val="pt-BR"/>
        </w:rPr>
      </w:pPr>
    </w:p>
    <w:p w:rsidR="009643CD" w:rsidRPr="009F1D8E" w:rsidRDefault="00396C9E" w:rsidP="00446686">
      <w:pPr>
        <w:pStyle w:val="BodyText"/>
        <w:rPr>
          <w:lang w:val="pt-BR"/>
        </w:rPr>
      </w:pPr>
    </w:p>
    <w:p w:rsidR="009643CD" w:rsidRPr="009F1D8E" w:rsidRDefault="00396C9E" w:rsidP="00446686">
      <w:pPr>
        <w:pStyle w:val="BodyText"/>
        <w:rPr>
          <w:lang w:val="pt-BR"/>
        </w:rPr>
      </w:pPr>
    </w:p>
    <w:p w:rsidR="009643CD" w:rsidRPr="009F1D8E" w:rsidRDefault="00396C9E" w:rsidP="00446686">
      <w:pPr>
        <w:pStyle w:val="BodyText"/>
        <w:rPr>
          <w:lang w:val="pt-BR"/>
        </w:rPr>
      </w:pPr>
    </w:p>
    <w:p w:rsidR="009643CD" w:rsidRPr="009F1D8E" w:rsidRDefault="00396C9E" w:rsidP="00446686">
      <w:pPr>
        <w:pStyle w:val="BodyText"/>
        <w:rPr>
          <w:lang w:val="pt-BR"/>
        </w:rPr>
      </w:pPr>
    </w:p>
    <w:p w:rsidR="009643CD" w:rsidRPr="009F1D8E" w:rsidRDefault="00396C9E" w:rsidP="00446686">
      <w:pPr>
        <w:pStyle w:val="BodyText"/>
        <w:rPr>
          <w:lang w:val="pt-BR"/>
        </w:rPr>
      </w:pPr>
    </w:p>
    <w:tbl>
      <w:tblPr>
        <w:tblStyle w:val="DP-Plain"/>
        <w:tblW w:w="5000" w:type="pct"/>
        <w:tblLook w:val="04A0"/>
      </w:tblPr>
      <w:tblGrid>
        <w:gridCol w:w="2322"/>
        <w:gridCol w:w="3774"/>
        <w:gridCol w:w="3048"/>
      </w:tblGrid>
      <w:tr w:rsidR="008065B2" w:rsidRPr="009F1D8E" w:rsidTr="008065B2">
        <w:trPr>
          <w:cnfStyle w:val="100000000000"/>
        </w:trPr>
        <w:tc>
          <w:tcPr>
            <w:tcW w:w="2322" w:type="dxa"/>
          </w:tcPr>
          <w:p w:rsidR="009643CD" w:rsidRPr="009F1D8E" w:rsidRDefault="0003646A" w:rsidP="008A77AF">
            <w:pPr>
              <w:pStyle w:val="TabletextArial"/>
              <w:rPr>
                <w:lang w:val="pt-BR"/>
              </w:rPr>
            </w:pPr>
            <w:r w:rsidRPr="009F1D8E">
              <w:rPr>
                <w:rFonts w:eastAsia="Arial"/>
                <w:lang w:val="pt-BR"/>
              </w:rPr>
              <w:t>Prazo do financiamento</w:t>
            </w:r>
          </w:p>
        </w:tc>
        <w:tc>
          <w:tcPr>
            <w:tcW w:w="3774" w:type="dxa"/>
          </w:tcPr>
          <w:p w:rsidR="009643CD" w:rsidRPr="009F1D8E" w:rsidRDefault="0003646A" w:rsidP="008A77AF">
            <w:pPr>
              <w:pStyle w:val="TabletextArial"/>
              <w:rPr>
                <w:lang w:val="pt-BR"/>
              </w:rPr>
            </w:pPr>
            <w:r w:rsidRPr="009F1D8E">
              <w:rPr>
                <w:rFonts w:eastAsia="Arial"/>
                <w:lang w:val="pt-BR"/>
              </w:rPr>
              <w:t>Definição</w:t>
            </w:r>
          </w:p>
        </w:tc>
        <w:tc>
          <w:tcPr>
            <w:tcW w:w="3048" w:type="dxa"/>
          </w:tcPr>
          <w:p w:rsidR="009643CD" w:rsidRPr="009F1D8E" w:rsidRDefault="0003646A" w:rsidP="008A77AF">
            <w:pPr>
              <w:pStyle w:val="TabletextArial"/>
              <w:rPr>
                <w:lang w:val="pt-BR"/>
              </w:rPr>
            </w:pPr>
            <w:r w:rsidRPr="009F1D8E">
              <w:rPr>
                <w:rFonts w:eastAsia="Arial"/>
                <w:lang w:val="pt-BR"/>
              </w:rPr>
              <w:t>Notas</w:t>
            </w:r>
          </w:p>
        </w:tc>
      </w:tr>
      <w:tr w:rsidR="008065B2" w:rsidRPr="009F1D8E" w:rsidTr="008065B2">
        <w:tc>
          <w:tcPr>
            <w:tcW w:w="2322" w:type="dxa"/>
          </w:tcPr>
          <w:p w:rsidR="009643CD" w:rsidRPr="009F1D8E" w:rsidRDefault="0003646A" w:rsidP="008A77AF">
            <w:pPr>
              <w:pStyle w:val="TabletextArial"/>
              <w:rPr>
                <w:i/>
                <w:lang w:val="pt-BR"/>
              </w:rPr>
            </w:pPr>
            <w:r w:rsidRPr="009F1D8E">
              <w:rPr>
                <w:rFonts w:eastAsia="Arial"/>
                <w:i/>
                <w:iCs/>
                <w:lang w:val="pt-BR"/>
              </w:rPr>
              <w:t>Prestação mensal</w:t>
            </w:r>
          </w:p>
        </w:tc>
        <w:tc>
          <w:tcPr>
            <w:tcW w:w="3774" w:type="dxa"/>
          </w:tcPr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</w:tc>
        <w:tc>
          <w:tcPr>
            <w:tcW w:w="3048" w:type="dxa"/>
          </w:tcPr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065B2" w:rsidRPr="009F1D8E" w:rsidTr="008065B2">
        <w:tc>
          <w:tcPr>
            <w:tcW w:w="2322" w:type="dxa"/>
          </w:tcPr>
          <w:p w:rsidR="009643CD" w:rsidRPr="009F1D8E" w:rsidRDefault="0003646A" w:rsidP="008A77AF">
            <w:pPr>
              <w:pStyle w:val="TabletextArial"/>
              <w:rPr>
                <w:i/>
                <w:lang w:val="pt-BR"/>
              </w:rPr>
            </w:pPr>
            <w:r w:rsidRPr="009F1D8E">
              <w:rPr>
                <w:rFonts w:eastAsia="Arial"/>
                <w:i/>
                <w:iCs/>
                <w:lang w:val="pt-BR"/>
              </w:rPr>
              <w:t>Financiamento</w:t>
            </w:r>
          </w:p>
        </w:tc>
        <w:tc>
          <w:tcPr>
            <w:tcW w:w="3774" w:type="dxa"/>
          </w:tcPr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</w:tc>
        <w:tc>
          <w:tcPr>
            <w:tcW w:w="3048" w:type="dxa"/>
          </w:tcPr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065B2" w:rsidRPr="009F1D8E" w:rsidTr="008065B2">
        <w:tc>
          <w:tcPr>
            <w:tcW w:w="2322" w:type="dxa"/>
          </w:tcPr>
          <w:p w:rsidR="009643CD" w:rsidRPr="009F1D8E" w:rsidRDefault="0003646A" w:rsidP="008A77AF">
            <w:pPr>
              <w:pStyle w:val="TabletextArial"/>
              <w:rPr>
                <w:i/>
                <w:lang w:val="pt-BR"/>
              </w:rPr>
            </w:pPr>
            <w:r w:rsidRPr="009F1D8E">
              <w:rPr>
                <w:rFonts w:eastAsia="Arial"/>
                <w:i/>
                <w:iCs/>
                <w:lang w:val="pt-BR"/>
              </w:rPr>
              <w:t>PMI</w:t>
            </w:r>
          </w:p>
        </w:tc>
        <w:tc>
          <w:tcPr>
            <w:tcW w:w="3774" w:type="dxa"/>
          </w:tcPr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</w:tc>
        <w:tc>
          <w:tcPr>
            <w:tcW w:w="3048" w:type="dxa"/>
          </w:tcPr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065B2" w:rsidRPr="009F1D8E" w:rsidTr="008065B2">
        <w:tc>
          <w:tcPr>
            <w:tcW w:w="2322" w:type="dxa"/>
          </w:tcPr>
          <w:p w:rsidR="009643CD" w:rsidRPr="009F1D8E" w:rsidRDefault="0003646A" w:rsidP="008A77AF">
            <w:pPr>
              <w:pStyle w:val="TabletextArial"/>
              <w:rPr>
                <w:i/>
                <w:lang w:val="pt-BR"/>
              </w:rPr>
            </w:pPr>
            <w:r w:rsidRPr="009F1D8E">
              <w:rPr>
                <w:rFonts w:eastAsia="Arial"/>
                <w:i/>
                <w:iCs/>
                <w:lang w:val="pt-BR"/>
              </w:rPr>
              <w:t>Principal</w:t>
            </w:r>
          </w:p>
        </w:tc>
        <w:tc>
          <w:tcPr>
            <w:tcW w:w="3774" w:type="dxa"/>
          </w:tcPr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</w:tc>
        <w:tc>
          <w:tcPr>
            <w:tcW w:w="3048" w:type="dxa"/>
          </w:tcPr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065B2" w:rsidRPr="009F1D8E" w:rsidTr="008065B2">
        <w:tc>
          <w:tcPr>
            <w:tcW w:w="2322" w:type="dxa"/>
          </w:tcPr>
          <w:p w:rsidR="009643CD" w:rsidRPr="009F1D8E" w:rsidRDefault="0003646A" w:rsidP="008A77AF">
            <w:pPr>
              <w:pStyle w:val="TabletextArial"/>
              <w:rPr>
                <w:i/>
                <w:lang w:val="pt-BR"/>
              </w:rPr>
            </w:pPr>
            <w:r w:rsidRPr="009F1D8E">
              <w:rPr>
                <w:rFonts w:eastAsia="Arial"/>
                <w:i/>
                <w:iCs/>
                <w:lang w:val="pt-BR"/>
              </w:rPr>
              <w:t>Pontos</w:t>
            </w:r>
          </w:p>
        </w:tc>
        <w:tc>
          <w:tcPr>
            <w:tcW w:w="3774" w:type="dxa"/>
          </w:tcPr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</w:tc>
        <w:tc>
          <w:tcPr>
            <w:tcW w:w="3048" w:type="dxa"/>
          </w:tcPr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</w:tc>
      </w:tr>
      <w:tr w:rsidR="008065B2" w:rsidRPr="009F1D8E" w:rsidTr="008065B2">
        <w:tc>
          <w:tcPr>
            <w:tcW w:w="2322" w:type="dxa"/>
          </w:tcPr>
          <w:p w:rsidR="009643CD" w:rsidRPr="009F1D8E" w:rsidRDefault="0003646A" w:rsidP="008A77AF">
            <w:pPr>
              <w:pStyle w:val="TabletextArial"/>
              <w:rPr>
                <w:i/>
                <w:lang w:val="pt-BR"/>
              </w:rPr>
            </w:pPr>
            <w:r w:rsidRPr="009F1D8E">
              <w:rPr>
                <w:rFonts w:eastAsia="Arial"/>
                <w:i/>
                <w:iCs/>
                <w:lang w:val="pt-BR"/>
              </w:rPr>
              <w:t>Juros totais</w:t>
            </w:r>
          </w:p>
        </w:tc>
        <w:tc>
          <w:tcPr>
            <w:tcW w:w="3774" w:type="dxa"/>
          </w:tcPr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</w:tc>
        <w:tc>
          <w:tcPr>
            <w:tcW w:w="3048" w:type="dxa"/>
          </w:tcPr>
          <w:p w:rsidR="009643CD" w:rsidRPr="009F1D8E" w:rsidRDefault="00396C9E" w:rsidP="008A77AF">
            <w:pPr>
              <w:pStyle w:val="TabletextArial"/>
              <w:rPr>
                <w:szCs w:val="24"/>
                <w:lang w:val="pt-BR"/>
              </w:rPr>
            </w:pPr>
          </w:p>
        </w:tc>
      </w:tr>
    </w:tbl>
    <w:p w:rsidR="009643CD" w:rsidRPr="009F1D8E" w:rsidRDefault="00396C9E" w:rsidP="00446686">
      <w:pPr>
        <w:pStyle w:val="BodyText"/>
        <w:rPr>
          <w:lang w:val="pt-BR"/>
        </w:rPr>
      </w:pPr>
    </w:p>
    <w:p w:rsidR="00446686" w:rsidRPr="009F1D8E" w:rsidRDefault="00396C9E" w:rsidP="00446686">
      <w:pPr>
        <w:pStyle w:val="BodyText"/>
        <w:rPr>
          <w:lang w:val="pt-BR"/>
        </w:rPr>
      </w:pPr>
    </w:p>
    <w:sectPr w:rsidR="00446686" w:rsidRPr="009F1D8E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46A" w:rsidRDefault="0003646A" w:rsidP="008065B2">
      <w:pPr>
        <w:spacing w:after="0" w:line="240" w:lineRule="auto"/>
      </w:pPr>
      <w:r>
        <w:separator/>
      </w:r>
    </w:p>
  </w:endnote>
  <w:endnote w:type="continuationSeparator" w:id="0">
    <w:p w:rsidR="0003646A" w:rsidRDefault="0003646A" w:rsidP="0080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D73B62">
    <w:pPr>
      <w:pStyle w:val="Footer"/>
    </w:pPr>
    <w:r w:rsidRPr="00D73B62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9F1D8E" w:rsidRDefault="0003646A" w:rsidP="00713A78">
                <w:pPr>
                  <w:pStyle w:val="Copyright"/>
                  <w:rPr>
                    <w:lang w:val="pt-PT"/>
                  </w:rPr>
                </w:pPr>
                <w:r w:rsidRPr="00713A78">
                  <w:rPr>
                    <w:rFonts w:eastAsia="Arial"/>
                    <w:lang w:val="pt-BR"/>
                  </w:rPr>
                  <w:t>© 2012 PricewaterhouseCoopers LLP.</w:t>
                </w:r>
                <w:r w:rsidR="009F1D8E">
                  <w:rPr>
                    <w:rFonts w:eastAsia="Arial"/>
                    <w:lang w:val="pt-BR"/>
                  </w:rPr>
                  <w:t xml:space="preserve"> Todos os direitos reservados. </w:t>
                </w:r>
                <w:r w:rsidRPr="00713A78">
                  <w:rPr>
                    <w:rFonts w:eastAsia="Arial"/>
                    <w:lang w:val="pt-BR"/>
                  </w:rPr>
                  <w:t>PwC refere-se à empresa membro nos Estados Unidos, e pode ocasionalmente referir-se à rede</w:t>
                </w:r>
                <w:r w:rsidR="009F1D8E">
                  <w:rPr>
                    <w:rFonts w:eastAsia="Arial"/>
                    <w:lang w:val="pt-BR"/>
                  </w:rPr>
                  <w:t xml:space="preserve"> PwC. </w:t>
                </w:r>
                <w:r w:rsidRPr="00713A78">
                  <w:rPr>
                    <w:rFonts w:eastAsia="Arial"/>
                    <w:lang w:val="pt-BR"/>
                  </w:rPr>
                  <w:t>Cada empresa membro</w:t>
                </w:r>
                <w:r w:rsidR="009F1D8E">
                  <w:rPr>
                    <w:rFonts w:eastAsia="Arial"/>
                    <w:lang w:val="pt-BR"/>
                  </w:rPr>
                  <w:t xml:space="preserve"> é uma entidade legal separada.</w:t>
                </w:r>
                <w:r w:rsidRPr="00713A78">
                  <w:rPr>
                    <w:rFonts w:eastAsia="Arial"/>
                    <w:lang w:val="pt-BR"/>
                  </w:rPr>
                  <w:t xml:space="preserve">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03646A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46A" w:rsidRDefault="0003646A" w:rsidP="008065B2">
      <w:pPr>
        <w:spacing w:after="0" w:line="240" w:lineRule="auto"/>
      </w:pPr>
      <w:r>
        <w:separator/>
      </w:r>
    </w:p>
  </w:footnote>
  <w:footnote w:type="continuationSeparator" w:id="0">
    <w:p w:rsidR="0003646A" w:rsidRDefault="0003646A" w:rsidP="0080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8065B2" w:rsidTr="0084517A">
      <w:tc>
        <w:tcPr>
          <w:tcW w:w="5000" w:type="pct"/>
        </w:tcPr>
        <w:p w:rsidR="002F372E" w:rsidRPr="009B5B65" w:rsidRDefault="00396C9E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D73B62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03646A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6F060F4"/>
    <w:multiLevelType w:val="hybridMultilevel"/>
    <w:tmpl w:val="76E6F880"/>
    <w:lvl w:ilvl="0" w:tplc="8160B5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AAD9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EA26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7EDC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407C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18C8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D43D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DCEE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A2E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5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6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66849C4"/>
    <w:multiLevelType w:val="multilevel"/>
    <w:tmpl w:val="CD4C98AE"/>
    <w:name w:val="PwCListBullets12"/>
    <w:numStyleLink w:val="PwCListBullets1"/>
  </w:abstractNum>
  <w:abstractNum w:abstractNumId="10">
    <w:nsid w:val="1E0849F5"/>
    <w:multiLevelType w:val="multilevel"/>
    <w:tmpl w:val="A266CF60"/>
    <w:name w:val="PwCListNumbers12"/>
    <w:numStyleLink w:val="PwCListNumbers1"/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342227E"/>
    <w:multiLevelType w:val="multilevel"/>
    <w:tmpl w:val="F622FA0C"/>
    <w:numStyleLink w:val="Style5"/>
  </w:abstractNum>
  <w:abstractNum w:abstractNumId="14">
    <w:nsid w:val="374F2107"/>
    <w:multiLevelType w:val="multilevel"/>
    <w:tmpl w:val="3BDCDC82"/>
    <w:numStyleLink w:val="TableBullet"/>
  </w:abstractNum>
  <w:abstractNum w:abstractNumId="15">
    <w:nsid w:val="3A57486E"/>
    <w:multiLevelType w:val="multilevel"/>
    <w:tmpl w:val="A266CF60"/>
    <w:name w:val="PwCListNumbers13"/>
    <w:numStyleLink w:val="PwCListNumbers1"/>
  </w:abstractNum>
  <w:abstractNum w:abstractNumId="16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EED465C"/>
    <w:multiLevelType w:val="hybridMultilevel"/>
    <w:tmpl w:val="111CDF92"/>
    <w:lvl w:ilvl="0" w:tplc="EE9A2B52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624ED34C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BE288814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DBCCBA50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E6C9568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2F7E585E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9138AA12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EEC82A40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20E674DE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2840C0C"/>
    <w:multiLevelType w:val="hybridMultilevel"/>
    <w:tmpl w:val="CFD0E5EA"/>
    <w:name w:val="PwCListNumbers132"/>
    <w:lvl w:ilvl="0" w:tplc="2CD07152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DCDA46E0" w:tentative="1">
      <w:start w:val="1"/>
      <w:numFmt w:val="lowerLetter"/>
      <w:lvlText w:val="%2."/>
      <w:lvlJc w:val="left"/>
      <w:pPr>
        <w:ind w:left="2246" w:hanging="360"/>
      </w:pPr>
    </w:lvl>
    <w:lvl w:ilvl="2" w:tplc="740EDDF0" w:tentative="1">
      <w:start w:val="1"/>
      <w:numFmt w:val="lowerRoman"/>
      <w:lvlText w:val="%3."/>
      <w:lvlJc w:val="right"/>
      <w:pPr>
        <w:ind w:left="2966" w:hanging="180"/>
      </w:pPr>
    </w:lvl>
    <w:lvl w:ilvl="3" w:tplc="C226D760" w:tentative="1">
      <w:start w:val="1"/>
      <w:numFmt w:val="decimal"/>
      <w:lvlText w:val="%4."/>
      <w:lvlJc w:val="left"/>
      <w:pPr>
        <w:ind w:left="3686" w:hanging="360"/>
      </w:pPr>
    </w:lvl>
    <w:lvl w:ilvl="4" w:tplc="182CAFC2" w:tentative="1">
      <w:start w:val="1"/>
      <w:numFmt w:val="lowerLetter"/>
      <w:lvlText w:val="%5."/>
      <w:lvlJc w:val="left"/>
      <w:pPr>
        <w:ind w:left="4406" w:hanging="360"/>
      </w:pPr>
    </w:lvl>
    <w:lvl w:ilvl="5" w:tplc="5AF4DB94" w:tentative="1">
      <w:start w:val="1"/>
      <w:numFmt w:val="lowerRoman"/>
      <w:lvlText w:val="%6."/>
      <w:lvlJc w:val="right"/>
      <w:pPr>
        <w:ind w:left="5126" w:hanging="180"/>
      </w:pPr>
    </w:lvl>
    <w:lvl w:ilvl="6" w:tplc="5D4201FA" w:tentative="1">
      <w:start w:val="1"/>
      <w:numFmt w:val="decimal"/>
      <w:lvlText w:val="%7."/>
      <w:lvlJc w:val="left"/>
      <w:pPr>
        <w:ind w:left="5846" w:hanging="360"/>
      </w:pPr>
    </w:lvl>
    <w:lvl w:ilvl="7" w:tplc="3EBE6428" w:tentative="1">
      <w:start w:val="1"/>
      <w:numFmt w:val="lowerLetter"/>
      <w:lvlText w:val="%8."/>
      <w:lvlJc w:val="left"/>
      <w:pPr>
        <w:ind w:left="6566" w:hanging="360"/>
      </w:pPr>
    </w:lvl>
    <w:lvl w:ilvl="8" w:tplc="E6A4BB7E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0">
    <w:nsid w:val="46612767"/>
    <w:multiLevelType w:val="hybridMultilevel"/>
    <w:tmpl w:val="CA9C68F2"/>
    <w:lvl w:ilvl="0" w:tplc="892E14D2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1B8E8AB8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16E842E0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18A85774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7FE4BBD4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5C72E148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1054B568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D39C85C8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B41ADA90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AC98CC28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9974A0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4CBC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E273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BA9D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A479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3C8D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D452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6E31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E401664"/>
    <w:multiLevelType w:val="multilevel"/>
    <w:tmpl w:val="EE12AE72"/>
    <w:numStyleLink w:val="PwCAppendixList1"/>
  </w:abstractNum>
  <w:abstractNum w:abstractNumId="25">
    <w:nsid w:val="5F7F5EF6"/>
    <w:multiLevelType w:val="hybridMultilevel"/>
    <w:tmpl w:val="5BCE4FEA"/>
    <w:lvl w:ilvl="0" w:tplc="7778A886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A37698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6C89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CA7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FAC1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28A0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CD5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4032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0283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171CAB"/>
    <w:multiLevelType w:val="multilevel"/>
    <w:tmpl w:val="F9CC98B6"/>
    <w:numStyleLink w:val="Style2"/>
  </w:abstractNum>
  <w:abstractNum w:abstractNumId="27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0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9"/>
  </w:num>
  <w:num w:numId="3">
    <w:abstractNumId w:val="5"/>
  </w:num>
  <w:num w:numId="4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2"/>
  </w:num>
  <w:num w:numId="6">
    <w:abstractNumId w:val="16"/>
  </w:num>
  <w:num w:numId="7">
    <w:abstractNumId w:val="24"/>
  </w:num>
  <w:num w:numId="8">
    <w:abstractNumId w:val="20"/>
  </w:num>
  <w:num w:numId="9">
    <w:abstractNumId w:val="17"/>
  </w:num>
  <w:num w:numId="10">
    <w:abstractNumId w:val="28"/>
  </w:num>
  <w:num w:numId="11">
    <w:abstractNumId w:val="6"/>
  </w:num>
  <w:num w:numId="12">
    <w:abstractNumId w:val="18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5"/>
  </w:num>
  <w:num w:numId="15">
    <w:abstractNumId w:val="7"/>
  </w:num>
  <w:num w:numId="16">
    <w:abstractNumId w:val="2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1"/>
  </w:num>
  <w:num w:numId="18">
    <w:abstractNumId w:val="2"/>
  </w:num>
  <w:num w:numId="19">
    <w:abstractNumId w:val="27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1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0"/>
  </w:num>
  <w:num w:numId="31">
    <w:abstractNumId w:val="1"/>
  </w:num>
  <w:num w:numId="32">
    <w:abstractNumId w:val="32"/>
  </w:num>
  <w:num w:numId="33">
    <w:abstractNumId w:val="14"/>
    <w:lvlOverride w:ilvl="0">
      <w:lvl w:ilvl="0">
        <w:start w:val="1"/>
        <w:numFmt w:val="bullet"/>
        <w:pStyle w:val="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color w:val="000000" w:themeColor="text1"/>
        </w:rPr>
      </w:lvl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8065B2"/>
    <w:rsid w:val="0003646A"/>
    <w:rsid w:val="00396C9E"/>
    <w:rsid w:val="008065B2"/>
    <w:rsid w:val="009F1D8E"/>
    <w:rsid w:val="00D73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uiPriority w:val="59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B53263"/>
    <w:pPr>
      <w:numPr>
        <w:numId w:val="33"/>
      </w:numPr>
      <w:spacing w:after="0" w:line="240" w:lineRule="auto"/>
    </w:pPr>
    <w:rPr>
      <w:rFonts w:ascii="Arial" w:hAnsi="Arial" w:cs="Arial"/>
      <w:color w:val="000000" w:themeColor="text1"/>
    </w:r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446686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29E04-5D74-47FA-A279-CFE01F20B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2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2012-07-17T23:49:00Z</cp:lastPrinted>
  <dcterms:created xsi:type="dcterms:W3CDTF">2012-12-25T23:27:00Z</dcterms:created>
  <dcterms:modified xsi:type="dcterms:W3CDTF">2012-12-25T23:27:00Z</dcterms:modified>
</cp:coreProperties>
</file>